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80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2FB6F00" wp14:editId="22DE177D">
            <wp:extent cx="552450" cy="600075"/>
            <wp:effectExtent l="0" t="0" r="0" b="9525"/>
            <wp:docPr id="4" name="Рисунок 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2D7C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822D7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муниципальный  район</w:t>
      </w:r>
      <w:proofErr w:type="gramEnd"/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СОВЕТ   ДЕПУТАТОВ</w:t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ПЕЧЕНКИНСКОГО  СЕЛЬСКОГО</w:t>
      </w:r>
      <w:proofErr w:type="gramEnd"/>
      <w:r w:rsidRPr="00822D7C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A94514" w:rsidRPr="00822D7C" w:rsidRDefault="00A94514" w:rsidP="00A94514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A94514" w:rsidRPr="00822D7C" w:rsidRDefault="00A94514" w:rsidP="00A9451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94514" w:rsidRDefault="00A94514" w:rsidP="00A94514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14.02.</w:t>
      </w:r>
      <w:r w:rsidRPr="00822D7C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№ 141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 xml:space="preserve">О выражении согласия населения 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 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>Челябинской области на изменение границ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 </w:t>
      </w:r>
    </w:p>
    <w:p w:rsidR="00A94514" w:rsidRPr="00D0593F" w:rsidRDefault="00A94514" w:rsidP="00A94514">
      <w:pPr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>Челябинской области</w:t>
      </w: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  <w:lang w:bidi="ru-RU"/>
        </w:rPr>
      </w:pPr>
    </w:p>
    <w:p w:rsidR="00A94514" w:rsidRPr="00D0593F" w:rsidRDefault="00A94514" w:rsidP="00A9451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 xml:space="preserve">В связи с преобразованием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в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Еткульский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муниципальный округ Челябинской области, 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Челябинской области от 26 октября 2006 года                  № 66-ЗО «Об административно-территориальном устройстве Челябинской области», Уставом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Челябинской области, принимая во внимание представленное председателем Собрания депутатов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Копейского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городского округа Челябинской области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Гиске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Е. К. землеустроительное дело по описанию </w:t>
      </w:r>
      <w:r>
        <w:rPr>
          <w:rFonts w:ascii="Times New Roman" w:hAnsi="Times New Roman"/>
          <w:bCs/>
          <w:sz w:val="28"/>
          <w:szCs w:val="28"/>
        </w:rPr>
        <w:t xml:space="preserve">изменения </w:t>
      </w:r>
      <w:r w:rsidRPr="00D0593F">
        <w:rPr>
          <w:rFonts w:ascii="Times New Roman" w:hAnsi="Times New Roman"/>
          <w:bCs/>
          <w:sz w:val="28"/>
          <w:szCs w:val="28"/>
        </w:rPr>
        <w:t xml:space="preserve">местоположения границ объекта землеустройства «Граница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Копейского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городского округа Челябинской области», подготовленное в рамках муниципального контракта от 14 ноября 2024 года № 24-7441-Д/0033, утвержденное 23 января 2025 года начальником управления по имуществу и земельным отношениям администрации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Копейского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городского округа Бурковой Ж. А.</w:t>
      </w:r>
    </w:p>
    <w:p w:rsidR="00A94514" w:rsidRDefault="00A94514" w:rsidP="00A94514">
      <w:pPr>
        <w:ind w:left="284" w:hanging="284"/>
        <w:jc w:val="center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ind w:left="284" w:hanging="284"/>
        <w:jc w:val="center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A94514" w:rsidRPr="00D0593F" w:rsidRDefault="00A94514" w:rsidP="00A94514">
      <w:pPr>
        <w:ind w:left="284" w:hanging="284"/>
        <w:jc w:val="center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>РЕШАЕТ:</w:t>
      </w: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lastRenderedPageBreak/>
        <w:t xml:space="preserve">Выразить согласие населения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Челябинской области, на изменение границы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Челябинской области, смежной с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Копейским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городским округом Челябинской области, в соответствии с землеустроительным делом по описанию местоположения границ объекта землеустройства «Граница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округа Челябинской области», подготовленным в рамках муниципального контракта от 02 ноября 2024 года № 151/2024, утвержденным 18 декабря 2024 года главой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Челябинской области Кузьменковым Ю. В.</w:t>
      </w:r>
    </w:p>
    <w:p w:rsidR="00A94514" w:rsidRPr="00D0593F" w:rsidRDefault="00A94514" w:rsidP="00A94514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ab/>
        <w:t xml:space="preserve">2. Настоящее решение направить в адрес: Собрания депутатов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Копейского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городского округа Челябинской области, Собрания депутатов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Челябинской области.</w:t>
      </w:r>
    </w:p>
    <w:p w:rsidR="00A94514" w:rsidRPr="00D0593F" w:rsidRDefault="00A94514" w:rsidP="00A94514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ab/>
        <w:t xml:space="preserve">3. Опубликовать настоящее решение в общественно-политической газете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района «Искра» и разместить на официальном сайте администрации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муниципального района на странице </w:t>
      </w: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94514" w:rsidRPr="00D0593F" w:rsidRDefault="00A94514" w:rsidP="00A94514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ab/>
        <w:t>4. Настоящее решение вступает в силу с момента его официального опубликования.</w:t>
      </w: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  <w:r w:rsidRPr="00D0593F"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  <w:proofErr w:type="spellStart"/>
      <w:r w:rsidRPr="00D0593F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сельского поселения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А.А.Казаков</w:t>
      </w:r>
      <w:proofErr w:type="spellEnd"/>
      <w:r w:rsidRPr="00D0593F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</w:p>
    <w:p w:rsidR="00A94514" w:rsidRPr="00D0593F" w:rsidRDefault="00A94514" w:rsidP="00A94514">
      <w:pPr>
        <w:ind w:left="284" w:hanging="284"/>
        <w:rPr>
          <w:rFonts w:ascii="Times New Roman" w:hAnsi="Times New Roman"/>
          <w:bCs/>
          <w:sz w:val="28"/>
          <w:szCs w:val="28"/>
        </w:rPr>
      </w:pPr>
    </w:p>
    <w:p w:rsidR="00A94514" w:rsidRPr="00D0593F" w:rsidRDefault="00A94514" w:rsidP="00A945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D059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A94514" w:rsidRPr="00D0593F" w:rsidSect="00E82E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653B2"/>
    <w:rsid w:val="000C4BB4"/>
    <w:rsid w:val="001557F3"/>
    <w:rsid w:val="001A54B8"/>
    <w:rsid w:val="004232E3"/>
    <w:rsid w:val="005A57B6"/>
    <w:rsid w:val="006F009A"/>
    <w:rsid w:val="0070677F"/>
    <w:rsid w:val="00781F5A"/>
    <w:rsid w:val="00921CA0"/>
    <w:rsid w:val="009627D5"/>
    <w:rsid w:val="009F44D8"/>
    <w:rsid w:val="00A94514"/>
    <w:rsid w:val="00AC64CF"/>
    <w:rsid w:val="00AE0368"/>
    <w:rsid w:val="00C63C17"/>
    <w:rsid w:val="00D2469E"/>
    <w:rsid w:val="00D54969"/>
    <w:rsid w:val="00E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21</cp:revision>
  <cp:lastPrinted>2025-02-19T09:41:00Z</cp:lastPrinted>
  <dcterms:created xsi:type="dcterms:W3CDTF">2025-02-12T06:08:00Z</dcterms:created>
  <dcterms:modified xsi:type="dcterms:W3CDTF">2025-02-20T04:05:00Z</dcterms:modified>
</cp:coreProperties>
</file>